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84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36"/>
                <w:szCs w:val="36"/>
              </w:rPr>
              <w:t>Wyjazd do kina</w:t>
            </w:r>
          </w:p>
        </w:tc>
        <w:tc>
          <w:tcPr>
            <w:tcW w:w="245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I/II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64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9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muzyczne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30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30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LibreOffice/6.4.3.2$Windows_X86_64 LibreOffice_project/747b5d0ebf89f41c860ec2a39efd7cb15b54f2d8</Application>
  <Pages>1</Pages>
  <Words>139</Words>
  <Characters>913</Characters>
  <CharactersWithSpaces>990</CharactersWithSpaces>
  <Paragraphs>76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2022-10-03T12:50:07Z</cp:lastPrinted>
  <dcterms:modified xsi:type="dcterms:W3CDTF">2022-10-03T12:50:35Z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