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 xml:space="preserve">30 </w:t>
            </w: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Zajęcia 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malarskie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 ruchowe - gimnastyka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malarskie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Spotkanie z dietetykiem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9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4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Kącik szydełkowy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Kącik szydełkowy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Zajęcia z rękodzieła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Kącik szydełkowy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Application>LibreOffice/6.4.3.2$Windows_X86_64 LibreOffice_project/747b5d0ebf89f41c860ec2a39efd7cb15b54f2d8</Application>
  <Pages>1</Pages>
  <Words>154</Words>
  <Characters>1020</Characters>
  <CharactersWithSpaces>1107</CharactersWithSpaces>
  <Paragraphs>84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2022-04-22T14:14:40Z</cp:lastPrinted>
  <dcterms:modified xsi:type="dcterms:W3CDTF">2023-03-27T14:35:21Z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